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C3" w:rsidRDefault="003324C3" w:rsidP="003324C3">
      <w:pPr>
        <w:pStyle w:val="ConsPlusTitle"/>
        <w:jc w:val="center"/>
        <w:outlineLvl w:val="2"/>
      </w:pPr>
      <w:r>
        <w:t>Программа р</w:t>
      </w:r>
      <w:r>
        <w:t>азвити</w:t>
      </w:r>
      <w:r>
        <w:t>я</w:t>
      </w:r>
      <w:r>
        <w:t xml:space="preserve"> малого и среднего предпринимательства</w:t>
      </w:r>
      <w:r>
        <w:t xml:space="preserve"> в Оренбургской области</w:t>
      </w:r>
      <w:bookmarkStart w:id="0" w:name="_GoBack"/>
      <w:bookmarkEnd w:id="0"/>
    </w:p>
    <w:p w:rsidR="003324C3" w:rsidRDefault="003324C3" w:rsidP="003324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6350"/>
      </w:tblGrid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минэкономразвития</w:t>
            </w: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 xml:space="preserve">Участники 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2019 год - отсутствуют;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 xml:space="preserve">2020 - 2024 годы - </w:t>
            </w:r>
            <w:proofErr w:type="spellStart"/>
            <w:r>
              <w:t>минпромэнерго</w:t>
            </w:r>
            <w:proofErr w:type="spellEnd"/>
          </w:p>
        </w:tc>
      </w:tr>
      <w:tr w:rsidR="003324C3" w:rsidTr="00A665C8">
        <w:tc>
          <w:tcPr>
            <w:tcW w:w="9072" w:type="dxa"/>
            <w:gridSpan w:val="3"/>
          </w:tcPr>
          <w:p w:rsidR="003324C3" w:rsidRDefault="003324C3" w:rsidP="00A665C8">
            <w:pPr>
              <w:pStyle w:val="ConsPlusNormal"/>
              <w:jc w:val="both"/>
            </w:pP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proofErr w:type="spellStart"/>
            <w:r>
              <w:t>Цельпрограммы</w:t>
            </w:r>
            <w:proofErr w:type="spellEnd"/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содействие развитию МСП в Оренбургской области и поддержка физических лиц, применяющих специальный налоговый режим "Налог на профессиональный доход</w:t>
            </w:r>
          </w:p>
        </w:tc>
      </w:tr>
      <w:tr w:rsidR="003324C3" w:rsidTr="00A665C8">
        <w:tc>
          <w:tcPr>
            <w:tcW w:w="9072" w:type="dxa"/>
            <w:gridSpan w:val="3"/>
          </w:tcPr>
          <w:p w:rsidR="003324C3" w:rsidRDefault="003324C3" w:rsidP="00A665C8">
            <w:pPr>
              <w:pStyle w:val="ConsPlusNormal"/>
              <w:jc w:val="both"/>
            </w:pP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Задачи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расширение доступа субъектов МСП к государственной поддержке путем совершенствования механизмов ее использования, обеспечение финансовой поддержки субъектов МСП;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развитие инфраструктуры поддержки МСП путем дополнения недостающих объектов инфраструктуры в функциональном и территориальном разрезе, а также обеспечение деятельности действующих инфраструктурных организаций;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развитие кадрового потенциала, оказание образовательных услуг субъектам МСП;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 xml:space="preserve">поддержка субъектов МСП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поддержка физических лиц, применяющих специальный налоговый режим "Налог на профессиональный доход</w:t>
            </w: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"Акселерация субъектов малого и среднего предпринимательства";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"Создание благоприятных условий для осуществления деятельности самозанятыми гражданами";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"Создание условий для легкого старта и комфортного ведения бизнеса"</w:t>
            </w:r>
          </w:p>
        </w:tc>
      </w:tr>
      <w:tr w:rsidR="003324C3" w:rsidTr="00A665C8">
        <w:tc>
          <w:tcPr>
            <w:tcW w:w="9072" w:type="dxa"/>
            <w:gridSpan w:val="3"/>
          </w:tcPr>
          <w:p w:rsidR="003324C3" w:rsidRDefault="003324C3" w:rsidP="00A665C8">
            <w:pPr>
              <w:pStyle w:val="ConsPlusNormal"/>
              <w:jc w:val="both"/>
            </w:pP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Показатели (индикаторы)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количество самозанятых граждан, зафиксировавших свой статус, с учетом введения налогового режима для самозанятых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выдаваемых микрозаймов МФО субъектам МСП (нарастающим итогом) (количество действующих микрозаймов на конец отчетного периода);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lastRenderedPageBreak/>
              <w:t>объем субсидии федерального бюджета на исполнение расходных обязательств, предусматривающих создание и (или) развитие государственных МФО;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 xml:space="preserve">количество субъектов МСП, выведенных на экспорт при поддержке центра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МСП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 и самозанятых граждан, получивших поддержку в рамках регионального проекта "Акселерация субъектов малого и среднего предпринимательства"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доля субъектов МСП, охваченных услугами центра "Мой бизнес";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 моногородов, получивших поддержку;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площадь помещений ГБУ "ООБИ", предоставленных субъектам МСП;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проведенных консультаций ГБУ "ООБИ";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инвестиций в основной капитал субъектов МСП, получивших доступ к производственным площадям и помещениям в рамках промышленных парков, технопарков;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предпринимательства", занятых в сфере МСП, по итогам участия в региональном проекте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вновь созданных субъектов МСП участниками регионального проекта "Популяризация предпринимательства"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обученных основам ведения бизнеса, финансовой грамотности и иным навыкам предпринимательской деятельности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физических лиц - участников регионального проекта "Популяризация предпринимательства" (нарастающим итогом);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оборот субъектов предпринимательства;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налогоплательщиков (ИП) по налогу, уплачиваемому в связи с применением упрощенной системы налогообложения, применяющих налоговую ставку в размере 0 процентов (по объекту налогообложения - доходы, уменьшенные на величину расходов);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налогоплательщиков (ИП), применяющих патентную систему налогообложения с налоговой ставкой в размере 0 процентов (количество выданных патентов);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МСП, получивших поддержку при содействии микрофинансовой организации;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оказанной субъектам МСП при гарантийной поддержке за счет средств субсидии (сумма привлеченных кредитов под поручительство гарантийной организации);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индивидуальных предпринимателей, применяющих патентную систему налогообложения;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 xml:space="preserve">объем финансовой поддержки, предоставленной начинающим предпринимателям (кредиты, лизинг, займы), </w:t>
            </w:r>
            <w:r>
              <w:lastRenderedPageBreak/>
              <w:t>обеспеченной поручительствами региональных гарантийных организаций;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действующих микрозаймов, предоставленных начинающим предпринимателям;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услуги;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ежегодный объем экспорта субъектов МСП, получивших поддержку центров поддержки экспорта;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МСП-экспортеров, заключивших экспортные контракты по результатам услуг ЦПЭ;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действующих микрозаймов, выданных МФО;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оказанной субъектам МСП, при гарантийной поддержке РГО;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МСП, получивших комплексные услуги;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МСП, которые стали резидентами созданных промышленных парков, технопарков;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выданных микрозаймов самозанятым гражданам;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доход", накопленным итогом</w:t>
            </w:r>
          </w:p>
        </w:tc>
      </w:tr>
      <w:tr w:rsidR="003324C3" w:rsidTr="00A665C8">
        <w:tc>
          <w:tcPr>
            <w:tcW w:w="9072" w:type="dxa"/>
            <w:gridSpan w:val="3"/>
          </w:tcPr>
          <w:p w:rsidR="003324C3" w:rsidRDefault="003324C3" w:rsidP="00A665C8">
            <w:pPr>
              <w:pStyle w:val="ConsPlusNormal"/>
              <w:jc w:val="both"/>
            </w:pP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Срок и этапы реализации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</w:pPr>
            <w:r>
              <w:t>2019 - 2024 годы</w:t>
            </w: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Объем бюджетных ассигнований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</w:pPr>
            <w:r>
              <w:t>1429629,2 тыс. рублей, в том числе по годам реализации:</w:t>
            </w:r>
          </w:p>
          <w:p w:rsidR="003324C3" w:rsidRDefault="003324C3" w:rsidP="00A665C8">
            <w:pPr>
              <w:pStyle w:val="ConsPlusNormal"/>
            </w:pPr>
            <w:r>
              <w:t>2019 год - 238294,0 тыс. рублей;</w:t>
            </w:r>
          </w:p>
          <w:p w:rsidR="003324C3" w:rsidRDefault="003324C3" w:rsidP="00A665C8">
            <w:pPr>
              <w:pStyle w:val="ConsPlusNormal"/>
            </w:pPr>
            <w:r>
              <w:t>2020 год - 490025,3 тыс. рублей;</w:t>
            </w:r>
          </w:p>
          <w:p w:rsidR="003324C3" w:rsidRDefault="003324C3" w:rsidP="00A665C8">
            <w:pPr>
              <w:pStyle w:val="ConsPlusNormal"/>
            </w:pPr>
            <w:r>
              <w:t>2021 год - 147902,3 тыс. рублей;</w:t>
            </w:r>
          </w:p>
          <w:p w:rsidR="003324C3" w:rsidRDefault="003324C3" w:rsidP="00A665C8">
            <w:pPr>
              <w:pStyle w:val="ConsPlusNormal"/>
            </w:pPr>
            <w:r>
              <w:t>2022 год - 433339,0 тыс. рублей;</w:t>
            </w:r>
          </w:p>
          <w:p w:rsidR="003324C3" w:rsidRDefault="003324C3" w:rsidP="00A665C8">
            <w:pPr>
              <w:pStyle w:val="ConsPlusNormal"/>
            </w:pPr>
            <w:r>
              <w:t>2023 год - 65759,1 тыс. рублей;</w:t>
            </w:r>
          </w:p>
          <w:p w:rsidR="003324C3" w:rsidRDefault="003324C3" w:rsidP="00A665C8">
            <w:pPr>
              <w:pStyle w:val="ConsPlusNormal"/>
            </w:pPr>
            <w:r>
              <w:t>2024 год - 54309,5 тыс. рублей</w:t>
            </w:r>
          </w:p>
        </w:tc>
      </w:tr>
      <w:tr w:rsidR="003324C3" w:rsidTr="00A665C8">
        <w:tc>
          <w:tcPr>
            <w:tcW w:w="9072" w:type="dxa"/>
            <w:gridSpan w:val="3"/>
          </w:tcPr>
          <w:p w:rsidR="003324C3" w:rsidRDefault="003324C3" w:rsidP="00A665C8">
            <w:pPr>
              <w:pStyle w:val="ConsPlusNormal"/>
              <w:jc w:val="both"/>
            </w:pPr>
          </w:p>
        </w:tc>
      </w:tr>
      <w:tr w:rsidR="003324C3" w:rsidTr="00A665C8">
        <w:tc>
          <w:tcPr>
            <w:tcW w:w="2268" w:type="dxa"/>
          </w:tcPr>
          <w:p w:rsidR="003324C3" w:rsidRDefault="003324C3" w:rsidP="00A665C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454" w:type="dxa"/>
          </w:tcPr>
          <w:p w:rsidR="003324C3" w:rsidRDefault="003324C3" w:rsidP="00A665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</w:tcPr>
          <w:p w:rsidR="003324C3" w:rsidRDefault="003324C3" w:rsidP="00A665C8">
            <w:pPr>
              <w:pStyle w:val="ConsPlusNormal"/>
              <w:jc w:val="both"/>
            </w:pPr>
            <w:r>
              <w:t>увеличение количества самозанятых граждан, зафиксировавших свой статус, с учетом введения налогового режима для самозанятых до 0,031 млн. человек;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увеличение количества выдаваемых микрозаймов МФО субъектам МСП (количество действующих микрозаймов на конец отчетного периода) с 352 до 477;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 xml:space="preserve"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 в 2019 - 2024 </w:t>
            </w:r>
            <w:r>
              <w:lastRenderedPageBreak/>
              <w:t>годах - 4070348,74 тыс. рублей;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площадь помещений ГБУ "ООБИ", предоставленных субъектам МСП, - 3357,0 кв. метра ежегодно;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проведенных консультаций ГБУ "ООБИ" в 2019 - 2024 годах - 9000;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увеличение оборота субъектов предпринимательства до 547,1 млрд. рублей;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налогоплательщиков (ИП) по налогу, уплачиваемому в связи с применением упрощенной системы налогообложения, применяющих налоговую ставку в размере 0 процентов (по объекту налогообложения - доходы, уменьшенные на величину расходов), в 2020 году - 46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налогоплательщиков (ИП), применяющих патентную систему налогообложения с налоговой ставкой в размере 0 процентов (количество выданных патентов), в 2020 году - 60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МСП, получивших поддержку при содействии микрофинансовой организации, - 70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оказанной субъектам МСП при гарантийной поддержке за счет средств субсидии (сумма привлеченных кредитов под поручительство гарантийной организации), - 244006,25 тыс. рублей;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увеличение количества индивидуальных предпринимателей, применяющих патентную систему налогообложения, с 14,592 до 16,652 тыс. единиц к 2024 году;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в 2021 - 2024 годах 0,2674 миллиарда рублей;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увеличение количества действующих микрозаймов, предоставленных начинающим предпринимателям, с 38 до 45 единиц к 2024 году;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в 2021 - 2024 годах - 131 единица;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уникальных граждан, желающих вести бизнес, начинающих и действующих предпринимателей, получивших услуги, в 2021 - 2024 годах - 9,745 тыс.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экспорта субъектов МСП, получивших поддержку центров поддержки экспорта, в 2021 - 2024 годах - 0,0692 миллиарда долларов США;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субъектов МСП-экспортеров, заключивших экспортные контракты по результатам услуг ЦПЭ, в 2021 - 2024 годах - 142 единицы;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увеличение количества действующих микрозаймов, выданных МФО, с 0,378 до 0,457 тыс. единиц к 2024 году;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финансовой поддержки, оказанной субъектам МСП, при гарантийной поддержке РГО, в 2021 - 2024 годах - 3185,8942 млн. рублей;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lastRenderedPageBreak/>
              <w:t>количество субъектов МСП, получивших комплексные услуги, в 2021 - 2024 годах - 5,026 тыс.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самозанятых граждан, получивших услуги, в том числе прошедших программы обучения, в 2021 - 2024 годах - 1,034 тыс. единиц;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объем выданных микрозаймов самозанятым гражданам, в 2021 - 2024 годах - 19,1 млн. рублей";</w:t>
            </w:r>
          </w:p>
          <w:p w:rsidR="003324C3" w:rsidRDefault="003324C3" w:rsidP="00A665C8">
            <w:pPr>
              <w:pStyle w:val="ConsPlusNormal"/>
              <w:jc w:val="both"/>
            </w:pPr>
            <w:r>
      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 к 2024 году - 15,725 тыс. человек</w:t>
            </w:r>
          </w:p>
        </w:tc>
      </w:tr>
    </w:tbl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Title"/>
        <w:jc w:val="center"/>
        <w:outlineLvl w:val="2"/>
      </w:pPr>
      <w:r>
        <w:t>1. Общая характеристика сферы реализации программы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Normal"/>
        <w:ind w:firstLine="540"/>
        <w:jc w:val="both"/>
      </w:pPr>
      <w:r>
        <w:t>МСП как явление социальное, экономическое и политическое, охватывающее почти все отрасли деятельности, решает следующие основные задачи развития Оренбургской области: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социальном аспекте - способствует обеспечению занятости и материального благополучия населения, его духовному и культурному развитию, удовлетворению материальных потребностей посредством расширения рынка потребительских товаров и сферы услуг;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экономическом аспекте - содействует развитию конкурентной рыночной экономики, увеличению ВРП, повышению доходов консолидированного бюджета Оренбургской области и внебюджетных фондов;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политическом аспекте - обеспечивает формирование среднего класса - основного гаранта социальной и политической стабильности общества.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исполнительной власти в отношении МСП. В последние годы в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Основными задачами на предстоящий период должны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области.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Динамика изменений в состоянии сферы малого предпринимательства в Оренбургской области в 2016 - 2017 годах представлена в таблице.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Normal"/>
        <w:jc w:val="right"/>
        <w:outlineLvl w:val="3"/>
      </w:pPr>
      <w:r>
        <w:t>Таблица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Title"/>
        <w:jc w:val="center"/>
      </w:pPr>
      <w:r>
        <w:t>Динамика</w:t>
      </w:r>
    </w:p>
    <w:p w:rsidR="003324C3" w:rsidRDefault="003324C3" w:rsidP="003324C3">
      <w:pPr>
        <w:pStyle w:val="ConsPlusTitle"/>
        <w:jc w:val="center"/>
      </w:pPr>
      <w:r>
        <w:lastRenderedPageBreak/>
        <w:t>развития малого предпринимательства</w:t>
      </w:r>
    </w:p>
    <w:p w:rsidR="003324C3" w:rsidRDefault="003324C3" w:rsidP="003324C3">
      <w:pPr>
        <w:pStyle w:val="ConsPlusTitle"/>
        <w:jc w:val="center"/>
      </w:pPr>
      <w:r>
        <w:t>в Оренбургской области в 2016 - 2017 годах</w:t>
      </w:r>
    </w:p>
    <w:p w:rsidR="003324C3" w:rsidRDefault="003324C3" w:rsidP="003324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92"/>
        <w:gridCol w:w="1593"/>
      </w:tblGrid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center"/>
            </w:pPr>
            <w:r>
              <w:t>2017 год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Количество МСП, включая микропредприятия (единиц)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20992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21580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Среднесписочная численность работников МСП, включая микропредприятия (без внешних совместителей) (тыс. человек)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127,1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146,8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Оборот МСП, включая микропредприятия (млрд. рублей)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310,4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337,7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Объем инвестиций в основной капитал субъектов МСП (юридических лиц) (млрд. рублей)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18,4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30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Налоговые поступления от субъектов МСП (млн. рублей)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14617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17055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Средняя численность работников на одно предприятие (человек)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6,1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6,8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Оборот на одно предприятие (тыс. рублей)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14786,6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15648,7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Объем инвестиций в основной капитал на одно предприятие (тыс. рублей)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876,5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1390,2</w:t>
            </w:r>
          </w:p>
        </w:tc>
      </w:tr>
      <w:tr w:rsidR="003324C3" w:rsidTr="00A665C8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</w:pPr>
            <w:r>
              <w:t>Количество индивидуальных предпринимателей (по данным Единого реестра субъектов МСП) (единиц)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37804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3" w:rsidRDefault="003324C3" w:rsidP="00A665C8">
            <w:pPr>
              <w:pStyle w:val="ConsPlusNormal"/>
              <w:jc w:val="right"/>
            </w:pPr>
            <w:r>
              <w:t>38709</w:t>
            </w:r>
          </w:p>
        </w:tc>
      </w:tr>
    </w:tbl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Normal"/>
        <w:ind w:firstLine="540"/>
        <w:jc w:val="both"/>
      </w:pPr>
      <w:r>
        <w:t>По данным за 2017 год количество МСП (включая микропредприятия) в Оренбургской области составило 22580 единиц (в 2016 году - 20992 единицы). Прирост количества предприятий составил 588 единиц (2,8 процента). Количество индивидуальных предпринимателей в Оренбургской области (согласно Единому реестру субъектов МСП) увеличилось с 37804 единиц в 2016 году до 38709 единиц в 2017 году.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Среднесписочная численность работников, занятых на малых и средних предприятиях, увеличилась в 2017 году по сравнению с 2016 годом на 15,5 процента, средняя численность работников на одно предприятие увеличилась с 6,1 человека до 6,8 человека.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Оборот малых и средних предприятий в 2017 году по сравнению с 2016 годом увеличился на 27,3 млрд. рублей и составил 337,7 млрд. рублей.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инвестиций в основной капитал субъектов МСП (юридических лиц) в 2017 году увеличился в 1,6 раза по сравнению с предыдущим годом и на одно предприятие составил 1390,2 тыс. рублей (в 2016 году - 879,5 тыс. рублей).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Сумма налогов и иных обязательных платежей, уплаченных субъектами малого и среднего бизнеса в бюджетную систему Российской Федерации в 2017 году, составила 17,1 млрд. рублей (116,7 процента к уровню поступлений в 2016 году).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lastRenderedPageBreak/>
        <w:t>Развитие МСП продолжает сдерживаться следующими основными проблемами: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недостаток собственных финансовых ресурсов для развития бизнеса;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высокая стоимость и сложность получения банковских кредитных ресурсов;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недостаточный уровень развития инфраструктуры поддержки МСП, особенно в муниципальных образованиях;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низкая производственная и инновационная активность малого и среднего бизнеса;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низкий уровень участия молодежи в предпринимательской деятельности;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недостаток средств в муниципальных бюджетах на развитие МСП;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низкий уровень развития системы государственно-частного партнерства, основанной на экономическом равноправии и социальной ответственности, оптимальном учете интересов, селективности, легитимности действий и стратегическом целеполагании;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отсутствие для малых и средних предприятий стимулов к повышению производительности труда;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недостаточный уровень государственной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МСП.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Программа рассматривается как механизм, который позволит скоординировать действия органов власти всех уровней, представителей предпринимательского сообщества и организаций инфраструктуры поддержки МСП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Решение задач, поставленных в рамках программы, позволит: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проводить единую политику по поддержке субъектов МСП и обеспечить высокую бюджетную эффективность расходов на их поддержку;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обеспечить координацию деятельности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МСП;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обеспечить повышение инвестиционной активности и устойчивое развитие МСП во всех отраслях реального сектора экономики;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получить значительный мультипликативный эффект не только в охватываемых программой сферах, но и в других секторах экономической деятельности и в экономике в целом, который во многом определяется комплексностью решаемых проблем и превосходит сумму результатов отдельных мероприятий программы.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Государственная политика в области развития МСП Оренбургской области является частью государственной социально-экономической политики Российской Федерации и </w:t>
      </w:r>
      <w:r>
        <w:lastRenderedPageBreak/>
        <w:t xml:space="preserve">представляет собой комплекс мер, направленных на реализацию целей, поставленных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Приоритеты государственной политики в сфере поддержки и развития МСП в Российской Федерации определены </w:t>
      </w:r>
      <w:hyperlink r:id="rId5" w:history="1">
        <w:r>
          <w:rPr>
            <w:color w:val="0000FF"/>
          </w:rPr>
          <w:t>подпрограммой</w:t>
        </w:r>
      </w:hyperlink>
      <w:r>
        <w:t xml:space="preserve"> "Развитие малого и среднего предпринимательства" государственной программы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Реализация мероприятий программы позволит к 2024 году достичь следующих результатов: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количества самозанятых граждан, зафиксировавших свой статус, с учетом введения налогового режима для самозанятых до 0,031 млн. человек;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количества выдаваемых микрозаймов МФО субъектам МСП (количество действующих микрозаймов на конец отчетного периода) с 352 до 477;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финансовой поддержки, оказанной субъектам МСП, при гарантийной поддержке (сумма привлеченных кредитов под поручительство гарантийной организации), в 2019 - 2024 годах - 4070348,74 тыс. рублей;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площадь помещений ГБУ "ООБИ", предоставленных субъектам МСП, - 3357,0 кв. метра ежегодно;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проведенных консультаций ГБУ "ООБИ" в 2019 - 2024 годах - 9000;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оборота субъектов предпринимательства до 547,1 млрд. рублей;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налогоплательщиков (ИП) по налогу, уплачиваемому в связи с применением упрощенной системы налогообложения, применяющих налоговую ставку в размере 0 процентов (по объекту налогообложения - доходы, уменьшенные на величину расходов), - 46 единиц в 2020 году;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налогоплательщиков (ИП), применяющих патентную систему налогообложения с налоговой ставкой в размере 0 процентов (количество выданных патентов), - 60 единиц в 2020 году;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количества индивидуальных предпринимателей, применяющих патентную систему налогообложения, с 14,592 до 16,652 тыс. единиц к 2024 году;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организаций, в 2021 - 2024 годах - 0,2674 миллиарда рублей;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количества действующих микрозаймов, предоставленных начинающим предпринимателям, с 38 до 45 единиц к 2024 году;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в 2021 - 2024 годах - 131 единица;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количество уникальных граждан, желающих вести бизнес, начинающих и </w:t>
      </w:r>
      <w:r>
        <w:lastRenderedPageBreak/>
        <w:t>действующих предпринимателей, получивших услуги, в 2021 - 2024 годах - 9,745 тыс. единиц;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экспорта субъектов МСП, получивших поддержку центров поддержки экспорта, в 2021 - 2024 годах - 0,0692 миллиарда долларов;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субъектов МСП-экспортеров, заключивших экспортные контракты по результатам услуг ЦПЭ, в 2021 - 2024 годах - 142 единицы;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увеличение количества действующих микрозаймов, выданных МФО, с 0,378 до 0,457 тыс. единиц к 2024 году;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финансовой поддержки, оказанной субъектам МСП, при гарантийной поддержке РГО, в 2021 - 2024 годах - 3185,8942 млн. рублей;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субъектов МСП, получивших комплексные услуги, в 2021 - 2024 годах - 5,026 тыс. единиц;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самозанятых граждан, получивших услуги, в том числе прошедших программы обучения, в 2021 - 2024 годах - 1,034 тыс. единиц;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выданных микрозаймов самозанятым гражданам в 2021 - 2024 годах - 19,1 млн. рублей;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количество самозанятых граждан, зафиксировавших свой статус и применяющих специальный налоговый режим "Налог на профессиональный доход" (НПД), накопленным итогом к 2024 году - 15,725 тыс. человек;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объем финансовой поддержки, оказанной субъектам МСП при гарантийной поддержке за счет средств субсидии (сумма привлеченных кредитов под поручительство гарантийной организации), - 24406,25 тыс. рублей.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Одной из форм поддержки субъектов МСП и организаций, образующих инфраструктуру поддержки субъектов МСП, является также имущественная поддержка.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Оказание имущественной поддержки может осуществляться в виде предоставления имущества, находящегося в государственной собственности Оренбургской области, в аренду по льготным ставкам арендной платы.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Льготная ставка арендной платы может быть установлена субъекту МСП, основным видом деятельности которого (по информации, содержащейся в разделе "Сведения о видах экономической деятельности по Общероссийскому </w:t>
      </w:r>
      <w:hyperlink r:id="rId6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деятельности" выписки из Единого государственного реестра юридических лиц/индивидуальных предпринимателей) является деятельность, входящая в следующие разделы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 ОК 029-2014 (КДЕС Ред. 2), принятого и введенного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видов экономической деятельности, связанных с производством и (или) реализацией подакцизных товаров, а также добычей и (или) реализацией полезных ископаемых (за исключением общераспространенных полезных ископаемых);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услуг", за исключением </w:t>
      </w:r>
      <w:hyperlink r:id="rId12" w:history="1">
        <w:r>
          <w:rPr>
            <w:color w:val="0000FF"/>
          </w:rPr>
          <w:t>кода 86.90.3</w:t>
        </w:r>
      </w:hyperlink>
      <w:r>
        <w:t>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Льготная ставка арендной платы также может быть установлена субъекту МСП, основным видом деятельности которого (по информации, содержащейся в разделе "Сведения о видах экономической деятельности по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деятельности" выписки из Единого государственного реестра юридических лиц/индивидуальных предпринимателей) является деятельность, признанная в наибольшей степени пострадавшей из-за последствий распространения </w:t>
      </w:r>
      <w:proofErr w:type="spellStart"/>
      <w:r>
        <w:t>коронавирусной</w:t>
      </w:r>
      <w:proofErr w:type="spellEnd"/>
      <w:r>
        <w:t xml:space="preserve"> инфекции. Соответствующие отрасли российской экономики, в наибольшей степени пострадавшие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определяются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а размер и сроки предоставления льготной ставки арендной платы определяются нормативными правовыми актами Оренбургской области.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Normal"/>
        <w:jc w:val="both"/>
      </w:pPr>
      <w:proofErr w:type="spellStart"/>
      <w:r>
        <w:t>пп</w:t>
      </w:r>
      <w:proofErr w:type="spellEnd"/>
      <w:r>
        <w:t>)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Title"/>
        <w:jc w:val="center"/>
        <w:outlineLvl w:val="2"/>
      </w:pPr>
      <w:r>
        <w:t>2</w:t>
      </w:r>
      <w:r>
        <w:t>. Перечень и характеристика ведомственных целевых программ</w:t>
      </w:r>
    </w:p>
    <w:p w:rsidR="003324C3" w:rsidRDefault="003324C3" w:rsidP="003324C3">
      <w:pPr>
        <w:pStyle w:val="ConsPlusTitle"/>
        <w:jc w:val="center"/>
      </w:pPr>
      <w:r>
        <w:t>и основных мероприятий программы</w:t>
      </w:r>
    </w:p>
    <w:p w:rsidR="003324C3" w:rsidRDefault="003324C3" w:rsidP="003324C3">
      <w:pPr>
        <w:pStyle w:val="ConsPlusNormal"/>
        <w:jc w:val="both"/>
      </w:pPr>
    </w:p>
    <w:p w:rsidR="003324C3" w:rsidRDefault="003324C3" w:rsidP="003324C3">
      <w:pPr>
        <w:pStyle w:val="ConsPlusNormal"/>
        <w:ind w:firstLine="540"/>
        <w:jc w:val="both"/>
      </w:pPr>
      <w:r>
        <w:t>Реализация ведомственных целевых программ в рамках реализации программы не предусмотрена.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рамках программы реализуются региональные проекты и основное мероприятие.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"Акселерация субъектов малого и среднего предпринимательства".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направлен на: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организацию оказания комплекса услуг, сервисов и мер поддержки субъектам МСП в Центрах "Мой бизнес",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женского предпринимательства, а также услуг акционерного общества "Корпорация "МСП" и акционерного общества "Российский экспортный центр":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финансовое обеспечение деятельности центра поддержки предпринимательства Оренбургской области, осуществляющего предоставление предпринимателям широкого спектра услуг, в том числе по налоговому планированию, бизнес-обучению, инвестиционному проектированию, информационному и юридическому сопровождению предпринимательской деятельности;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развитие центра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МСП в целях оказания информационно-аналитической, консультационной и организационной поддержки внешнеэкономической деятельности субъектов МСП, содействия привлечению инвестиций и выходу </w:t>
      </w:r>
      <w:proofErr w:type="spellStart"/>
      <w:r>
        <w:t>экспортно</w:t>
      </w:r>
      <w:proofErr w:type="spellEnd"/>
      <w:r>
        <w:t xml:space="preserve"> ориентированных субъектов МСП на международные рынки;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развитие поддержки субъектов МСП в моногородах, расширение микрофинансовой </w:t>
      </w:r>
      <w:r>
        <w:lastRenderedPageBreak/>
        <w:t>поддержки субъектов МСП в моногородах;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создание промышленных (индустриальных) парков и (или) технопарков с целью предоставления условий для осуществления субъектами МСП промышленного производства, научно-технической и инновационной деятельности в целях освоения промышленного производства промышленной продукции, деятельности в сфере высоких технологий;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создание и (или) развитие центров инноваций социальной сферы для оказания информационно-аналитической, консультационной и организационной поддержки субъектам социального предпринимательства;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развитие системы комплексной имущественной поддержки субъектов МСП в структуре бизнес-инкубаторов, оказание государственных услуг субъектам МСП;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обеспечение льготного доступа субъектов МСП к заемным средствам государственных микрофинансовых организаций;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обеспечение предоставления субъектам МСП поручительств (гарантий) фондов содействия кредитованию (гарантийных фондов, фондов поручительств);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обеспечение оказания субъектам МСП, а также резидентам промышленных парков, технопарков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финансовое обеспечение деятельности автономной некоммерческой организации "Центр поддержки предпринимательства и развития экспорта Оренбургской области", связанной с организацией и реализацией мероприятий по оказанию комплекса услуг, сервисов и мер поддержки субъектам малого и среднего предпринимательства, самозанятым гражданам.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Развитие системы комплексной имущественной поддержки субъектов МСП на ранней стадии их деятельности (стадии,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бизнес-инкубатором не превышает 3 лет) в структуре бизнес-инкубатора посредством финансового обеспечения выполнения ГБУ "ООБИ" государственного задания на оказание государственных услуг субъектам МСП.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Формирование и финансовое обеспечение выполнения государственного задания на оказание государственных услуг (выполнение работ) осуществляется в порядке, определенном постановлением Правительства Оренбургской области.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Оказание государственных услуг осуществляется в соответствии с условиями и порядком согласно административным регламентам предоставления ГБУ "ООБИ" государственных услуг, разрабатываемым ГБУ "ООБИ" в соответствии с требованиями законодательства Российской Федерации и Оренбургской области.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Исходя из потребности офисное помещение оборудуется офисной мебелью, оргтехникой (индивидуального или коллективного доступа). Указанное движимое имущество предоставляется на безвозмездной основе и оформляется передаточным актом.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Офисные помещения обеспечиваются возможностью выхода на городскую </w:t>
      </w:r>
      <w:r>
        <w:lastRenderedPageBreak/>
        <w:t>телефонную связь, доступом к сети Интернет.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ГБУ "ООБИ" обеспечивает наполняемость нежилых помещений, предназначенных для размещения субъектов малого предпринимательства (отношение площади, фактически занятой субъектами малого предпринимательства, к расчетной площади нежилых помещений, предназначенных для размещения субъектов малого предпринимательства), в размере не менее 80 процентов.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Корректирующие коэффициенты, применяемые при расчете размера арендной платы для субъектов МСП, арендующих помещения у ГБУ "ООБИ", устанавливаются Правительством Оренбургской области.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"Создание условий для легкого старта и комфортного ведения бизнеса".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направлен на: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улучшение условий ведения предпринимательской деятельности для индивидуальных предпринимателей, применяющих патентную систему налогообложения;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предоставление начинающим предпринимателям поручительств и независимых гарантий РГО на обеспечение доступа к кредитным и иным финансовым ресурсам для старта бизнеса;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предоставление начинающим предпринимателям льготных финансовых ресурсов в виде микрозаймов государственными МФО;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оказание субъектам МСП, включенным в реестр социальных предпринимателей, комплексных услуг и (или) предоставление финансовой поддержки в виде грантов;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компетенций).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"Создание благоприятных условий для осуществления деятельности самозанятыми гражданами".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Региональный проект направлен на: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обеспечение предоставления самозанятым гражданам комплекса информационно-консультационных и образовательных услуг организациями инфраструктуры поддержки МСП и федеральными институтами развития (центрами компетенций) в офлайн и онлайн форматах;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предоставление самозанятым гражданам льготных финансовых ресурсов в виде микрозаймов государственными МФО, а также поручительств и независимых гарантий РГО на обеспечение доступа к кредитным и иным финансовым ресурсам.</w:t>
      </w:r>
    </w:p>
    <w:p w:rsidR="003324C3" w:rsidRDefault="003324C3" w:rsidP="003324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24.12.2020 N 1233-пп)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Основное мероприятие 1 "Оказание мер налогового стимулирования субъектов </w:t>
      </w:r>
      <w:r>
        <w:lastRenderedPageBreak/>
        <w:t>малого и среднего предпринимательства на территории Оренбургской области".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предусматриваются: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1. Установление налоговых ставок для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 (10,0 процента).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2. Установление налоговой ставки в размере 0,0 процента для налогоплательщиков - индивидуальных предпринимателей, впервые зарегистрированных при применении упрощенной системы налогообложения и патентной системы налогообложения.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Основное мероприятие 2 "Поддержка субъектов малого и среднего предпринимательства в условиях ухудшения экономической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>В рамках данного основного мероприятия предусматривается выделение субсидий некоммерческим организациям на: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обеспечение доступа субъектов МСП и (или) организаций, образующих инфраструктуру поддержки субъектов МСП,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МСП и (или) организаций, образующих инфраструктуру поддержки субъектов МСП, и отвечают требованиям, установленным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3324C3" w:rsidRDefault="003324C3" w:rsidP="003324C3">
      <w:pPr>
        <w:pStyle w:val="ConsPlusNormal"/>
        <w:spacing w:before="240"/>
        <w:ind w:firstLine="540"/>
        <w:jc w:val="both"/>
      </w:pPr>
      <w:r>
        <w:t xml:space="preserve">финансовое обеспечение развития системы микрофинансирования субъектов МСП, зарегистрированных и осуществляющих деятельность на территории Оренбургской области,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за счет средств областного бюджета, в том числе источником финансового обеспечения которых являются средства федерального бюджета.</w:t>
      </w:r>
    </w:p>
    <w:p w:rsidR="003324C3" w:rsidRDefault="003324C3" w:rsidP="003324C3">
      <w:pPr>
        <w:pStyle w:val="ConsPlusNormal"/>
        <w:jc w:val="both"/>
      </w:pPr>
    </w:p>
    <w:p w:rsidR="00750BBC" w:rsidRDefault="00750BBC"/>
    <w:sectPr w:rsidR="0075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C3"/>
    <w:rsid w:val="000D71F8"/>
    <w:rsid w:val="003324C3"/>
    <w:rsid w:val="007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0B1E"/>
  <w15:chartTrackingRefBased/>
  <w15:docId w15:val="{2F6A55C7-F908-4D5D-AE60-1F2712CF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9695&amp;date=19.03.2021" TargetMode="External"/><Relationship Id="rId13" Type="http://schemas.openxmlformats.org/officeDocument/2006/relationships/hyperlink" Target="https://login.consultant.ru/link/?req=doc&amp;base=LAW&amp;n=371195&amp;date=19.03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1195&amp;date=19.03.2021" TargetMode="External"/><Relationship Id="rId12" Type="http://schemas.openxmlformats.org/officeDocument/2006/relationships/hyperlink" Target="https://login.consultant.ru/link/?req=doc&amp;base=LAW&amp;n=371195&amp;date=19.03.2021&amp;dst=105403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6425&amp;date=19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195&amp;date=19.03.2021" TargetMode="External"/><Relationship Id="rId11" Type="http://schemas.openxmlformats.org/officeDocument/2006/relationships/hyperlink" Target="https://login.consultant.ru/link/?req=doc&amp;base=LAW&amp;n=371195&amp;date=19.03.2021&amp;dst=105377&amp;fld=134" TargetMode="External"/><Relationship Id="rId5" Type="http://schemas.openxmlformats.org/officeDocument/2006/relationships/hyperlink" Target="https://login.consultant.ru/link/?req=doc&amp;base=LAW&amp;n=376834&amp;date=19.03.2021&amp;dst=29012&amp;fld=134" TargetMode="External"/><Relationship Id="rId15" Type="http://schemas.openxmlformats.org/officeDocument/2006/relationships/hyperlink" Target="https://login.consultant.ru/link/?req=doc&amp;base=RLAW390&amp;n=105585&amp;date=19.03.2021&amp;dst=102189&amp;fld=134" TargetMode="External"/><Relationship Id="rId10" Type="http://schemas.openxmlformats.org/officeDocument/2006/relationships/hyperlink" Target="https://login.consultant.ru/link/?req=doc&amp;base=LAW&amp;n=371195&amp;date=19.03.2021&amp;dst=105326&amp;fld=134" TargetMode="External"/><Relationship Id="rId4" Type="http://schemas.openxmlformats.org/officeDocument/2006/relationships/hyperlink" Target="https://login.consultant.ru/link/?req=doc&amp;base=LAW&amp;n=356425&amp;date=19.03.2021" TargetMode="External"/><Relationship Id="rId9" Type="http://schemas.openxmlformats.org/officeDocument/2006/relationships/hyperlink" Target="https://login.consultant.ru/link/?req=doc&amp;base=LAW&amp;n=371195&amp;date=19.03.2021&amp;dst=100711&amp;fld=134" TargetMode="External"/><Relationship Id="rId14" Type="http://schemas.openxmlformats.org/officeDocument/2006/relationships/hyperlink" Target="https://login.consultant.ru/link/?req=doc&amp;base=LAW&amp;n=365550&amp;date=19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Жуковская</dc:creator>
  <cp:keywords/>
  <dc:description/>
  <cp:lastModifiedBy>Ольга Жуковская</cp:lastModifiedBy>
  <cp:revision>1</cp:revision>
  <dcterms:created xsi:type="dcterms:W3CDTF">2021-03-19T13:37:00Z</dcterms:created>
  <dcterms:modified xsi:type="dcterms:W3CDTF">2021-03-19T13:48:00Z</dcterms:modified>
</cp:coreProperties>
</file>